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  <w:t>Pour une histoire sociale et politique des enseignants sous la deuxi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  <w:t>me r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  <w:t>publique au Rwanda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fr-FR"/>
        </w:rPr>
      </w:pPr>
      <w:r>
        <w:rPr>
          <w:rFonts w:ascii="Calibri" w:cs="Calibri" w:hAnsi="Calibri" w:eastAsia="Calibri"/>
          <w:u w:color="000000"/>
          <w:rtl w:val="0"/>
          <w:lang w:val="fr-FR"/>
        </w:rPr>
        <w:tab/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l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ment central des politiques de d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veloppement, l</w:t>
      </w:r>
      <w:r>
        <w:rPr>
          <w:rFonts w:ascii="Calibri" w:cs="Calibri" w:hAnsi="Calibri" w:eastAsia="Calibri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u w:color="000000"/>
          <w:rtl w:val="0"/>
          <w:lang w:val="fr-FR"/>
        </w:rPr>
        <w:t>ducation a fait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objet de nombreux articles depuis le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nocide. L</w:t>
      </w:r>
      <w:r>
        <w:rPr>
          <w:rFonts w:ascii="Calibri" w:cs="Calibri" w:hAnsi="Calibri" w:eastAsia="Calibri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u w:color="000000"/>
          <w:rtl w:val="0"/>
          <w:lang w:val="fr-FR"/>
        </w:rPr>
        <w:t>ducation est largement per</w:t>
      </w:r>
      <w:r>
        <w:rPr>
          <w:rFonts w:ascii="Calibri" w:cs="Calibri" w:hAnsi="Calibri" w:eastAsia="Calibri"/>
          <w:u w:color="000000"/>
          <w:rtl w:val="0"/>
          <w:lang w:val="fr-FR"/>
        </w:rPr>
        <w:t>ç</w:t>
      </w:r>
      <w:r>
        <w:rPr>
          <w:rFonts w:ascii="Calibri" w:cs="Calibri" w:hAnsi="Calibri" w:eastAsia="Calibri"/>
          <w:u w:color="000000"/>
          <w:rtl w:val="0"/>
          <w:lang w:val="fr-FR"/>
        </w:rPr>
        <w:t>ue comme un instrument pour la reconstruction et la paix. N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anmoins, force est de constater que peu de litt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rature existe sur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histoire de l</w:t>
      </w:r>
      <w:r>
        <w:rPr>
          <w:rFonts w:ascii="Calibri" w:cs="Calibri" w:hAnsi="Calibri" w:eastAsia="Calibri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u w:color="000000"/>
          <w:rtl w:val="0"/>
          <w:lang w:val="fr-FR"/>
        </w:rPr>
        <w:t>ducation avant le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nocide, et moins encore sur celle de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enseignement et des enseignants. Dans la majorit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u w:color="000000"/>
          <w:rtl w:val="0"/>
          <w:lang w:val="fr-FR"/>
        </w:rPr>
        <w:t>des cas, le peu de litt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rature scientifique a mis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accent sur les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l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ves, plus que sur les professeurs. C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est une histoire de long terme qui reste encore largement </w:t>
      </w:r>
      <w:r>
        <w:rPr>
          <w:rFonts w:ascii="Calibri" w:cs="Calibri" w:hAnsi="Calibri" w:eastAsia="Calibri"/>
          <w:u w:color="000000"/>
          <w:rtl w:val="0"/>
          <w:lang w:val="fr-FR"/>
        </w:rPr>
        <w:t>à é</w:t>
      </w:r>
      <w:r>
        <w:rPr>
          <w:rFonts w:ascii="Calibri" w:cs="Calibri" w:hAnsi="Calibri" w:eastAsia="Calibri"/>
          <w:u w:color="000000"/>
          <w:rtl w:val="0"/>
          <w:lang w:val="fr-FR"/>
        </w:rPr>
        <w:t>crire, comme je tenterai de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expliquer dans ma communication.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fr-FR"/>
        </w:rPr>
      </w:pPr>
      <w:r>
        <w:rPr>
          <w:rFonts w:ascii="Calibri" w:cs="Calibri" w:hAnsi="Calibri" w:eastAsia="Calibri"/>
          <w:u w:color="000000"/>
          <w:rtl w:val="0"/>
          <w:lang w:val="fr-FR"/>
        </w:rPr>
        <w:tab/>
        <w:t>Doctorante en histoire contemporaine depuis janvier 2013, j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effectue des recherches sur le d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veloppement des comm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morations et des m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moriaux aux niveaux local et national entre 1994 et 2006. Depuis le d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but de mon projet de th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se, j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effectue des recherches sur les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seaux militants et associatifs li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 aux activit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 comm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moratives de 1994 dans le district de Rwamagana, dans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est du Rwanda.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cette occasion, j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ai pu me rendre compte que les principaux organisateurs et promoteurs des premi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res activit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 m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morielles du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nocide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taient issus du milieu des enseignants. Mes recherches m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ont pouss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e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comprendre les logiques internes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ce petit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seau de professeurs. Il fallait comprendre ce qui les avait amen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s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se regrouper en association de survivants apr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s le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nocide, et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largement encourager le soutien des paysans dans leurs actions. Lors des entretiens, les t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moins interrog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 organisent largement leur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cit en fonction de l</w:t>
      </w:r>
      <w:r>
        <w:rPr>
          <w:rFonts w:ascii="Calibri" w:cs="Calibri" w:hAnsi="Calibri" w:eastAsia="Calibri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u w:color="000000"/>
          <w:rtl w:val="0"/>
          <w:lang w:val="fr-FR"/>
        </w:rPr>
        <w:t>v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nement du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nocide, illustrant la frustration due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leur statut pr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caire d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enseignant avant le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nocide et la discrimination ethnique dont ils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taient victimes. Ces faits les auraient amen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s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s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investir politiquement durant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ouverture d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mocratique du d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but de 1991, et 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ensuite soutenir le FPR pendant et apr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s la guerre civile et le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nocide. N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anmoins, les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cits de ces enseignants ne sont pas uniquement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clairants sur la situation des enseignants de campagne pour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crire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histoire du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nocide et sa m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morialisation. Ils nous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clairent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galement sur une histoire de plus long terme sur la situation des petites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lites rurales durant la deuxi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me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publique, sur leur r</w:t>
      </w:r>
      <w:r>
        <w:rPr>
          <w:rFonts w:ascii="Calibri" w:cs="Calibri" w:hAnsi="Calibri" w:eastAsia="Calibri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u w:color="000000"/>
          <w:rtl w:val="0"/>
          <w:lang w:val="fr-FR"/>
        </w:rPr>
        <w:t>le durant l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ouverture d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mocratique, tout comme aussi sur la relation qu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entretenait ces petites 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lites rurales et la paysannerie. Derri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re des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cits organis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s t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l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ologiquement autour du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nocide se dessine une histoire sociale et politique du statut d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fr-FR"/>
        </w:rPr>
        <w:t>enseignant. Ma communication se propose de remettre en contexte le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cit de ces enseignants du primaire dans le paysage social de la fin de la deuxi</w:t>
      </w:r>
      <w:r>
        <w:rPr>
          <w:rFonts w:ascii="Calibri" w:cs="Calibri" w:hAnsi="Calibri" w:eastAsia="Calibri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u w:color="000000"/>
          <w:rtl w:val="0"/>
          <w:lang w:val="fr-FR"/>
        </w:rPr>
        <w:t>me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publique, tentant ainsi de r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>introduire de la continuit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u w:color="000000"/>
          <w:rtl w:val="0"/>
          <w:lang w:val="fr-FR"/>
        </w:rPr>
        <w:t>l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fr-FR"/>
        </w:rPr>
        <w:t>o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ù </w:t>
      </w:r>
      <w:r>
        <w:rPr>
          <w:rFonts w:ascii="Calibri" w:cs="Calibri" w:hAnsi="Calibri" w:eastAsia="Calibri"/>
          <w:u w:color="000000"/>
          <w:rtl w:val="0"/>
          <w:lang w:val="fr-FR"/>
        </w:rPr>
        <w:t>le g</w:t>
      </w:r>
      <w:r>
        <w:rPr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u w:color="000000"/>
          <w:rtl w:val="0"/>
          <w:lang w:val="fr-FR"/>
        </w:rPr>
        <w:t xml:space="preserve">nocide a introduit de la rupture.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i w:val="1"/>
          <w:iCs w:val="1"/>
          <w:u w:color="000000"/>
          <w:rtl w:val="0"/>
          <w:lang w:val="fr-FR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819"/>
        <w:tab w:val="right" w:pos="9638"/>
        <w:tab w:val="clear" w:pos="9020"/>
      </w:tabs>
      <w:spacing w:line="288" w:lineRule="auto"/>
      <w:jc w:val="left"/>
      <w:rPr>
        <w:rFonts w:ascii="Trebuchet MS" w:cs="Trebuchet MS" w:hAnsi="Trebuchet MS" w:eastAsia="Trebuchet MS"/>
        <w:sz w:val="22"/>
        <w:szCs w:val="22"/>
      </w:rPr>
    </w:pPr>
    <w:r>
      <w:rPr>
        <w:rFonts w:ascii="Trebuchet MS"/>
        <w:sz w:val="22"/>
        <w:szCs w:val="22"/>
        <w:rtl w:val="0"/>
        <w:lang w:val="nl-NL"/>
      </w:rPr>
      <w:t>Florence Rasmont</w:t>
    </w:r>
  </w:p>
  <w:p>
    <w:pPr>
      <w:pStyle w:val="En-tête, bas de page"/>
      <w:tabs>
        <w:tab w:val="center" w:pos="4819"/>
        <w:tab w:val="right" w:pos="9638"/>
        <w:tab w:val="clear" w:pos="9020"/>
      </w:tabs>
      <w:spacing w:line="288" w:lineRule="auto"/>
      <w:jc w:val="left"/>
      <w:rPr>
        <w:rFonts w:ascii="Trebuchet MS" w:cs="Trebuchet MS" w:hAnsi="Trebuchet MS" w:eastAsia="Trebuchet MS"/>
        <w:sz w:val="22"/>
        <w:szCs w:val="22"/>
      </w:rPr>
    </w:pPr>
    <w:r>
      <w:rPr>
        <w:rFonts w:ascii="Trebuchet MS"/>
        <w:sz w:val="22"/>
        <w:szCs w:val="22"/>
        <w:rtl w:val="0"/>
        <w:lang w:val="nl-NL"/>
      </w:rPr>
      <w:t>Doctorante en histoire contemporaine</w:t>
    </w:r>
  </w:p>
  <w:p>
    <w:pPr>
      <w:pStyle w:val="En-tête, bas de page"/>
      <w:tabs>
        <w:tab w:val="center" w:pos="4819"/>
        <w:tab w:val="right" w:pos="9638"/>
        <w:tab w:val="clear" w:pos="9020"/>
      </w:tabs>
      <w:spacing w:line="288" w:lineRule="auto"/>
      <w:jc w:val="left"/>
      <w:rPr>
        <w:rFonts w:ascii="Trebuchet MS" w:cs="Trebuchet MS" w:hAnsi="Trebuchet MS" w:eastAsia="Trebuchet MS"/>
        <w:sz w:val="22"/>
        <w:szCs w:val="22"/>
      </w:rPr>
    </w:pPr>
    <w:r>
      <w:rPr>
        <w:rFonts w:ascii="Trebuchet MS"/>
        <w:sz w:val="22"/>
        <w:szCs w:val="22"/>
        <w:rtl w:val="0"/>
        <w:lang w:val="nl-NL"/>
      </w:rPr>
      <w:t>Boursi</w:t>
    </w:r>
    <w:r>
      <w:rPr>
        <w:rFonts w:hAnsi="Trebuchet MS" w:hint="default"/>
        <w:sz w:val="22"/>
        <w:szCs w:val="22"/>
        <w:rtl w:val="0"/>
        <w:lang w:val="nl-NL"/>
      </w:rPr>
      <w:t>è</w:t>
    </w:r>
    <w:r>
      <w:rPr>
        <w:rFonts w:ascii="Trebuchet MS"/>
        <w:sz w:val="22"/>
        <w:szCs w:val="22"/>
        <w:rtl w:val="0"/>
        <w:lang w:val="nl-NL"/>
      </w:rPr>
      <w:t>re FRESH/FNRS</w:t>
    </w:r>
  </w:p>
  <w:p>
    <w:pPr>
      <w:pStyle w:val="En-tête, bas de page"/>
      <w:tabs>
        <w:tab w:val="center" w:pos="4819"/>
        <w:tab w:val="right" w:pos="9638"/>
        <w:tab w:val="clear" w:pos="9020"/>
      </w:tabs>
      <w:spacing w:line="288" w:lineRule="auto"/>
      <w:jc w:val="left"/>
      <w:rPr>
        <w:rFonts w:ascii="Trebuchet MS" w:cs="Trebuchet MS" w:hAnsi="Trebuchet MS" w:eastAsia="Trebuchet MS"/>
        <w:sz w:val="22"/>
        <w:szCs w:val="22"/>
      </w:rPr>
    </w:pPr>
    <w:r>
      <w:rPr>
        <w:rFonts w:ascii="Trebuchet MS"/>
        <w:sz w:val="22"/>
        <w:szCs w:val="22"/>
        <w:rtl w:val="0"/>
        <w:lang w:val="nl-NL"/>
      </w:rPr>
      <w:t>Facult</w:t>
    </w:r>
    <w:r>
      <w:rPr>
        <w:rFonts w:hAnsi="Trebuchet MS" w:hint="default"/>
        <w:sz w:val="22"/>
        <w:szCs w:val="22"/>
        <w:rtl w:val="0"/>
        <w:lang w:val="nl-NL"/>
      </w:rPr>
      <w:t xml:space="preserve">é </w:t>
    </w:r>
    <w:r>
      <w:rPr>
        <w:rFonts w:ascii="Trebuchet MS"/>
        <w:sz w:val="22"/>
        <w:szCs w:val="22"/>
        <w:rtl w:val="0"/>
        <w:lang w:val="nl-NL"/>
      </w:rPr>
      <w:t>de Philosophie et de Sciences Sociales</w:t>
    </w:r>
  </w:p>
  <w:p>
    <w:pPr>
      <w:pStyle w:val="En-tête, bas de page"/>
      <w:tabs>
        <w:tab w:val="center" w:pos="4819"/>
        <w:tab w:val="right" w:pos="9638"/>
        <w:tab w:val="clear" w:pos="9020"/>
      </w:tabs>
      <w:spacing w:line="288" w:lineRule="auto"/>
      <w:jc w:val="left"/>
    </w:pPr>
    <w:r>
      <w:rPr>
        <w:rFonts w:ascii="Trebuchet MS"/>
        <w:sz w:val="22"/>
        <w:szCs w:val="22"/>
        <w:rtl w:val="0"/>
        <w:lang w:val="nl-NL"/>
      </w:rPr>
      <w:t>Universit</w:t>
    </w:r>
    <w:r>
      <w:rPr>
        <w:rFonts w:hAnsi="Trebuchet MS" w:hint="default"/>
        <w:sz w:val="22"/>
        <w:szCs w:val="22"/>
        <w:rtl w:val="0"/>
        <w:lang w:val="nl-NL"/>
      </w:rPr>
      <w:t xml:space="preserve">é </w:t>
    </w:r>
    <w:r>
      <w:rPr>
        <w:rFonts w:ascii="Trebuchet MS"/>
        <w:sz w:val="22"/>
        <w:szCs w:val="22"/>
        <w:rtl w:val="0"/>
        <w:lang w:val="nl-NL"/>
      </w:rPr>
      <w:t>Libre de Bruxelles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nl-NL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