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BF5" w:rsidRDefault="00626BF5" w:rsidP="00626BF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color w:val="000000"/>
        </w:rPr>
        <w:t>4</w:t>
      </w:r>
      <w:r>
        <w:rPr>
          <w:color w:val="000000"/>
        </w:rPr>
        <w:t xml:space="preserve">e Rencontres des Études africaines en France. </w:t>
      </w:r>
      <w:r>
        <w:rPr>
          <w:i/>
          <w:iCs/>
          <w:color w:val="000000"/>
        </w:rPr>
        <w:t xml:space="preserve">« L’Afrique des/en réseaux </w:t>
      </w:r>
      <w:r>
        <w:rPr>
          <w:b/>
          <w:bCs/>
          <w:i/>
          <w:iCs/>
          <w:color w:val="000000"/>
        </w:rPr>
        <w:t xml:space="preserve">» </w:t>
      </w:r>
      <w:r>
        <w:rPr>
          <w:color w:val="000000"/>
        </w:rPr>
        <w:t>5, 6, 7 juillet 2016 Paris</w:t>
      </w:r>
      <w:r>
        <w:rPr>
          <w:color w:val="000000"/>
        </w:rPr>
        <w:br/>
      </w:r>
      <w:r w:rsidRPr="00626BF5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Atelier </w:t>
      </w:r>
      <w:r w:rsidRPr="00626BF5">
        <w:rPr>
          <w:rFonts w:ascii="Times New Roman" w:hAnsi="Times New Roman" w:cs="Times New Roman"/>
          <w:b/>
          <w:color w:val="000000"/>
          <w:sz w:val="24"/>
          <w:szCs w:val="24"/>
        </w:rPr>
        <w:t>« </w:t>
      </w:r>
      <w:r w:rsidRPr="00626B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Lire l’Etat par le fo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ncier : les transactions fonciè</w:t>
      </w:r>
      <w:r w:rsidRPr="00626B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6B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comme objet de recherche</w:t>
      </w:r>
      <w:r w:rsidRPr="00626B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»</w:t>
      </w:r>
    </w:p>
    <w:p w:rsidR="00626BF5" w:rsidRDefault="00626BF5" w:rsidP="00626BF5">
      <w:pPr>
        <w:jc w:val="center"/>
        <w:rPr>
          <w:b/>
          <w:bCs/>
          <w:color w:val="000000"/>
        </w:rPr>
      </w:pPr>
      <w:r>
        <w:rPr>
          <w:color w:val="000000"/>
        </w:rPr>
        <w:br/>
      </w:r>
      <w:r w:rsidRPr="00626BF5">
        <w:rPr>
          <w:b/>
          <w:bCs/>
          <w:color w:val="000000"/>
          <w:u w:val="single"/>
        </w:rPr>
        <w:t>Proposition de communication</w:t>
      </w:r>
      <w:r w:rsidRPr="00626BF5">
        <w:rPr>
          <w:color w:val="000000"/>
          <w:u w:val="single"/>
        </w:rPr>
        <w:br/>
      </w:r>
    </w:p>
    <w:p w:rsidR="00626BF5" w:rsidRPr="00626BF5" w:rsidRDefault="00626BF5" w:rsidP="00626BF5">
      <w:pPr>
        <w:jc w:val="center"/>
        <w:rPr>
          <w:sz w:val="28"/>
          <w:szCs w:val="28"/>
        </w:rPr>
      </w:pPr>
      <w:r w:rsidRPr="00626BF5">
        <w:rPr>
          <w:sz w:val="28"/>
          <w:szCs w:val="28"/>
        </w:rPr>
        <w:t>« </w:t>
      </w:r>
      <w:r w:rsidRPr="00626BF5">
        <w:rPr>
          <w:sz w:val="28"/>
          <w:szCs w:val="28"/>
        </w:rPr>
        <w:t>Les régimes et investissements fonciers dans la zone pétrolière en Ouganda. Diversités des jeux d’acteurs auto</w:t>
      </w:r>
      <w:r w:rsidRPr="00626BF5">
        <w:rPr>
          <w:sz w:val="28"/>
          <w:szCs w:val="28"/>
        </w:rPr>
        <w:t>urs des transactions foncières. »</w:t>
      </w:r>
    </w:p>
    <w:p w:rsidR="00626BF5" w:rsidRDefault="00626BF5" w:rsidP="00626BF5">
      <w:pPr>
        <w:rPr>
          <w:bCs/>
          <w:color w:val="000000"/>
          <w:sz w:val="20"/>
          <w:szCs w:val="20"/>
        </w:rPr>
      </w:pPr>
      <w:r w:rsidRPr="00626BF5">
        <w:rPr>
          <w:bCs/>
          <w:color w:val="000000"/>
          <w:sz w:val="20"/>
          <w:szCs w:val="20"/>
        </w:rPr>
        <w:t>Potdevin Thomas, doctorant en science politique, Sciences Po Bordeaux, Les Afriques dans le monde (LAM)</w:t>
      </w:r>
    </w:p>
    <w:p w:rsidR="00626BF5" w:rsidRDefault="00626BF5" w:rsidP="00626BF5">
      <w:r>
        <w:rPr>
          <w:bCs/>
          <w:color w:val="000000"/>
          <w:sz w:val="20"/>
          <w:szCs w:val="20"/>
        </w:rPr>
        <w:t>Thomas.potdevin@gmail.com</w:t>
      </w:r>
    </w:p>
    <w:p w:rsidR="00626BF5" w:rsidRDefault="00626BF5" w:rsidP="00626BF5"/>
    <w:p w:rsidR="00912847" w:rsidRDefault="002837CE">
      <w:pPr>
        <w:pStyle w:val="Standard"/>
      </w:pPr>
      <w:r>
        <w:t>La découverte en 2006 de gisements pétroliers exploitables dans la région du bassin du lac Albert (à l’ouest de l’Ouganda) a entrainé depuis lors de nombreuses transactions foncières</w:t>
      </w:r>
      <w:r>
        <w:t xml:space="preserve"> (formelles et informelles) ainsi que de nombreux conflits fonciers [ULA, 2013]. L’augmentation de ces transactions sont </w:t>
      </w:r>
      <w:r>
        <w:t>d’abord le fait des entreprises d’exploitations pétrolières et du gouvernement qui ont besoin d’un accès à la terre pour leur proj</w:t>
      </w:r>
      <w:r>
        <w:t xml:space="preserve">et d’exploitation pétrolier ; mais aussi </w:t>
      </w:r>
      <w:r w:rsidR="001A4DD6">
        <w:t>de nombreux autres acteurs, au</w:t>
      </w:r>
      <w:r>
        <w:t xml:space="preserve"> premier</w:t>
      </w:r>
      <w:r w:rsidR="001A4DD6">
        <w:rPr>
          <w:i/>
          <w:iCs/>
        </w:rPr>
        <w:t xml:space="preserve"> </w:t>
      </w:r>
      <w:r w:rsidR="001A4DD6" w:rsidRPr="001A4DD6">
        <w:rPr>
          <w:iCs/>
        </w:rPr>
        <w:t>rang</w:t>
      </w:r>
      <w:r w:rsidR="001A4DD6">
        <w:rPr>
          <w:i/>
          <w:iCs/>
        </w:rPr>
        <w:t xml:space="preserve"> </w:t>
      </w:r>
      <w:r>
        <w:t xml:space="preserve">desquels des « investisseurs » </w:t>
      </w:r>
      <w:r w:rsidR="001A4DD6">
        <w:t xml:space="preserve"> (principalement locaux, mais aussi internationaux)</w:t>
      </w:r>
      <w:r>
        <w:t xml:space="preserve"> qui cherchent à spéculer</w:t>
      </w:r>
      <w:r w:rsidR="001A4DD6">
        <w:rPr>
          <w:color w:val="FF0000"/>
        </w:rPr>
        <w:t xml:space="preserve"> </w:t>
      </w:r>
      <w:r w:rsidRPr="001A4DD6">
        <w:t>sur le foncier</w:t>
      </w:r>
      <w:r w:rsidRPr="001A4DD6">
        <w:t>.</w:t>
      </w:r>
    </w:p>
    <w:p w:rsidR="00912847" w:rsidRDefault="002837CE">
      <w:pPr>
        <w:pStyle w:val="Standard"/>
      </w:pPr>
      <w:r>
        <w:t>Dans la région pé</w:t>
      </w:r>
      <w:r>
        <w:t>trolière, deux régimes fonciers – tous les deux reconnu</w:t>
      </w:r>
      <w:r w:rsidR="00DF25A5">
        <w:t>s</w:t>
      </w:r>
      <w:r>
        <w:t xml:space="preserve"> par la constitution et la loi</w:t>
      </w:r>
      <w:r w:rsidR="001A4DD6">
        <w:t>- cohabitent principalement: le </w:t>
      </w:r>
      <w:r>
        <w:t>régime foncier coutumier</w:t>
      </w:r>
      <w:r>
        <w:t xml:space="preserve"> et le </w:t>
      </w:r>
      <w:r>
        <w:t xml:space="preserve">régime de propriété </w:t>
      </w:r>
      <w:r w:rsidR="001A4DD6">
        <w:t>privé</w:t>
      </w:r>
      <w:r>
        <w:t>. Historiquement et encore aujourd’hui, la plupart des transactions foncières da</w:t>
      </w:r>
      <w:r>
        <w:t xml:space="preserve">ns la région se font sous le régime </w:t>
      </w:r>
      <w:r w:rsidRPr="001A4DD6">
        <w:t>foncier</w:t>
      </w:r>
      <w:r w:rsidRPr="001A4DD6">
        <w:t xml:space="preserve"> </w:t>
      </w:r>
      <w:r>
        <w:t>coutumier avec ses propres règles (qui ne sont qu</w:t>
      </w:r>
      <w:r w:rsidR="001A4DD6">
        <w:t xml:space="preserve">e partiellement </w:t>
      </w:r>
      <w:r>
        <w:t>définies</w:t>
      </w:r>
      <w:r w:rsidR="00DF25A5">
        <w:t xml:space="preserve"> par la législation Ougandaise). Pour leur</w:t>
      </w:r>
      <w:r w:rsidR="00931C26">
        <w:t>s</w:t>
      </w:r>
      <w:r w:rsidR="00DF25A5">
        <w:t xml:space="preserve"> part</w:t>
      </w:r>
      <w:r w:rsidR="00931C26">
        <w:t>s</w:t>
      </w:r>
      <w:r w:rsidR="00DF25A5">
        <w:t>,</w:t>
      </w:r>
      <w:r>
        <w:t xml:space="preserve"> le</w:t>
      </w:r>
      <w:r w:rsidR="001A4DD6">
        <w:t xml:space="preserve">s multinationales </w:t>
      </w:r>
      <w:r>
        <w:t>cherchent à ac</w:t>
      </w:r>
      <w:r w:rsidR="001A4DD6">
        <w:t>quérir ces terres sous le</w:t>
      </w:r>
      <w:r>
        <w:t xml:space="preserve"> </w:t>
      </w:r>
      <w:r>
        <w:t xml:space="preserve">régime de </w:t>
      </w:r>
      <w:r w:rsidR="001A4DD6">
        <w:t>propriété privé</w:t>
      </w:r>
      <w:r>
        <w:t>, ceci en suivant l</w:t>
      </w:r>
      <w:bookmarkStart w:id="0" w:name="_GoBack"/>
      <w:bookmarkEnd w:id="0"/>
      <w:r>
        <w:t>es procédures dictées par la loi et l’administratio</w:t>
      </w:r>
      <w:r w:rsidR="001A4DD6">
        <w:t xml:space="preserve">n étatique autant que faire se </w:t>
      </w:r>
      <w:r>
        <w:t>peu</w:t>
      </w:r>
      <w:r w:rsidR="001A4DD6">
        <w:t xml:space="preserve">t </w:t>
      </w:r>
      <w:r>
        <w:t>(notamment du fait que toutes les procédures ne sont pas édictés par celles-ci).</w:t>
      </w:r>
    </w:p>
    <w:p w:rsidR="00912847" w:rsidRDefault="002837CE">
      <w:pPr>
        <w:pStyle w:val="Standard"/>
      </w:pPr>
      <w:r>
        <w:t>Cette communication se pr</w:t>
      </w:r>
      <w:r>
        <w:t>opose</w:t>
      </w:r>
      <w:r w:rsidR="001A4DD6">
        <w:t>,</w:t>
      </w:r>
      <w:r>
        <w:t xml:space="preserve"> pour commencer</w:t>
      </w:r>
      <w:r w:rsidR="001A4DD6">
        <w:t>,</w:t>
      </w:r>
      <w:r>
        <w:t xml:space="preserve"> de présenter ces deux premiers types de transactions qui on</w:t>
      </w:r>
      <w:r>
        <w:t>t cours de manière concomitante</w:t>
      </w:r>
      <w:r>
        <w:t>, et qui ne font pas appel aux mêmes références, procédures et cadres juridiques, mais aussi qui ne mobilisent pas exacte</w:t>
      </w:r>
      <w:r>
        <w:t xml:space="preserve">ment les mêmes acteurs. </w:t>
      </w:r>
      <w:r w:rsidR="001A4DD6">
        <w:t>Ensuite</w:t>
      </w:r>
      <w:r w:rsidR="00DF25A5">
        <w:t>, seront présentées</w:t>
      </w:r>
      <w:r>
        <w:t xml:space="preserve"> les pratiques de nombreux « investisseur</w:t>
      </w:r>
      <w:r w:rsidR="001A4DD6">
        <w:t>s » qui, en passant par des voies</w:t>
      </w:r>
      <w:r>
        <w:t xml:space="preserve"> </w:t>
      </w:r>
      <w:r>
        <w:t xml:space="preserve">en partie </w:t>
      </w:r>
      <w:r w:rsidR="00DF25A5">
        <w:t>illégales (corruption, pression et/ou cooptation</w:t>
      </w:r>
      <w:r>
        <w:t xml:space="preserve"> d’acte</w:t>
      </w:r>
      <w:r w:rsidR="001A4DD6">
        <w:t xml:space="preserve">urs clés), </w:t>
      </w:r>
      <w:r w:rsidR="001A4DD6" w:rsidRPr="001A4DD6">
        <w:rPr>
          <w:iCs/>
        </w:rPr>
        <w:t>parviennent</w:t>
      </w:r>
      <w:r w:rsidRPr="001A4DD6">
        <w:t xml:space="preserve"> </w:t>
      </w:r>
      <w:r>
        <w:t>à s’accapa</w:t>
      </w:r>
      <w:r w:rsidR="00DF25A5">
        <w:t>rer des terres, provoquant</w:t>
      </w:r>
      <w:r>
        <w:t xml:space="preserve"> de nombreux conflits, tant avec les véritables propriétaires qu’avec les entreprises multinationales</w:t>
      </w:r>
      <w:r w:rsidR="00626BF5">
        <w:t xml:space="preserve"> qui désirent aussi ces terres</w:t>
      </w:r>
      <w:r>
        <w:t>. Cela permettra notamment de mettre en lumière le rôle clé de certains acte</w:t>
      </w:r>
      <w:r>
        <w:t xml:space="preserve">urs étatiques dans les </w:t>
      </w:r>
      <w:r w:rsidR="00626BF5">
        <w:t>t</w:t>
      </w:r>
      <w:r>
        <w:t xml:space="preserve">ransactions foncières, mais aussi dans les différents </w:t>
      </w:r>
      <w:r>
        <w:t>conflits sur lesquelles ces dernières débouchent.</w:t>
      </w:r>
    </w:p>
    <w:p w:rsidR="00912847" w:rsidRDefault="002837CE">
      <w:pPr>
        <w:pStyle w:val="Standard"/>
      </w:pPr>
      <w:r>
        <w:t xml:space="preserve"> </w:t>
      </w:r>
    </w:p>
    <w:sectPr w:rsidR="0091284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7CE" w:rsidRDefault="002837CE">
      <w:pPr>
        <w:spacing w:after="0" w:line="240" w:lineRule="auto"/>
      </w:pPr>
      <w:r>
        <w:separator/>
      </w:r>
    </w:p>
  </w:endnote>
  <w:endnote w:type="continuationSeparator" w:id="0">
    <w:p w:rsidR="002837CE" w:rsidRDefault="0028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7CE" w:rsidRDefault="002837C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837CE" w:rsidRDefault="002837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12847"/>
    <w:rsid w:val="001A4DD6"/>
    <w:rsid w:val="002837CE"/>
    <w:rsid w:val="00626BF5"/>
    <w:rsid w:val="00912847"/>
    <w:rsid w:val="00931C26"/>
    <w:rsid w:val="00D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17743-3031-4238-9F95-97879F0E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400</Words>
  <Characters>2303</Characters>
  <Application>Microsoft Office Word</Application>
  <DocSecurity>0</DocSecurity>
  <Lines>37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3</cp:revision>
  <dcterms:created xsi:type="dcterms:W3CDTF">2016-01-15T21:51:00Z</dcterms:created>
  <dcterms:modified xsi:type="dcterms:W3CDTF">2016-01-15T22:13:00Z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